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F3C4" w14:textId="77777777" w:rsidR="00830D06" w:rsidRDefault="008B4047" w:rsidP="005A58A5">
      <w:pPr>
        <w:spacing w:after="0" w:line="276" w:lineRule="auto"/>
        <w:ind w:left="4248"/>
        <w:jc w:val="right"/>
        <w:rPr>
          <w:rFonts w:ascii="Times New Roman" w:hAnsi="Times New Roman" w:cs="Times New Roman"/>
        </w:rPr>
      </w:pPr>
      <w:r w:rsidRPr="00830D06">
        <w:rPr>
          <w:rFonts w:ascii="Times New Roman" w:hAnsi="Times New Roman" w:cs="Times New Roman"/>
        </w:rPr>
        <w:t>Załącznik do rozporządzenia Ministra Zdrowia</w:t>
      </w:r>
    </w:p>
    <w:p w14:paraId="72DD2438" w14:textId="1131433C" w:rsidR="008B4047" w:rsidRPr="00830D06" w:rsidRDefault="00830D06" w:rsidP="005A58A5">
      <w:pPr>
        <w:spacing w:after="0" w:line="276" w:lineRule="auto"/>
        <w:ind w:left="4248"/>
        <w:jc w:val="right"/>
        <w:rPr>
          <w:rFonts w:ascii="Times New Roman" w:hAnsi="Times New Roman" w:cs="Times New Roman"/>
        </w:rPr>
      </w:pPr>
      <w:r w:rsidRPr="00830D06">
        <w:rPr>
          <w:rFonts w:ascii="Times New Roman" w:hAnsi="Times New Roman" w:cs="Times New Roman"/>
        </w:rPr>
        <w:t>z</w:t>
      </w:r>
      <w:r w:rsidR="008B4047" w:rsidRPr="00830D06">
        <w:rPr>
          <w:rFonts w:ascii="Times New Roman" w:hAnsi="Times New Roman" w:cs="Times New Roman"/>
        </w:rPr>
        <w:t xml:space="preserve"> dnia </w:t>
      </w:r>
      <w:r w:rsidR="005A58A5">
        <w:rPr>
          <w:rFonts w:ascii="Times New Roman" w:hAnsi="Times New Roman" w:cs="Times New Roman"/>
        </w:rPr>
        <w:t>…</w:t>
      </w:r>
      <w:r w:rsidR="008B4047" w:rsidRPr="00830D06">
        <w:rPr>
          <w:rFonts w:ascii="Times New Roman" w:hAnsi="Times New Roman" w:cs="Times New Roman"/>
        </w:rPr>
        <w:t>…</w:t>
      </w:r>
      <w:r w:rsidRPr="00830D06">
        <w:rPr>
          <w:rFonts w:ascii="Times New Roman" w:hAnsi="Times New Roman" w:cs="Times New Roman"/>
        </w:rPr>
        <w:t xml:space="preserve"> 202</w:t>
      </w:r>
      <w:r w:rsidR="00DE443C">
        <w:rPr>
          <w:rFonts w:ascii="Times New Roman" w:hAnsi="Times New Roman" w:cs="Times New Roman"/>
        </w:rPr>
        <w:t xml:space="preserve">2 </w:t>
      </w:r>
      <w:r w:rsidRPr="00830D06">
        <w:rPr>
          <w:rFonts w:ascii="Times New Roman" w:hAnsi="Times New Roman" w:cs="Times New Roman"/>
        </w:rPr>
        <w:t>r.</w:t>
      </w:r>
    </w:p>
    <w:p w14:paraId="2BD6CD9E" w14:textId="6A9B03D5" w:rsidR="008B4047" w:rsidRDefault="008B4047" w:rsidP="00830D06">
      <w:pPr>
        <w:spacing w:after="0" w:line="276" w:lineRule="auto"/>
        <w:jc w:val="both"/>
        <w:rPr>
          <w:rFonts w:ascii="Arial" w:hAnsi="Arial" w:cs="Arial"/>
        </w:rPr>
      </w:pPr>
    </w:p>
    <w:p w14:paraId="57EEEFA0" w14:textId="046BA086" w:rsidR="008B4047" w:rsidRDefault="008B4047" w:rsidP="008B4047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623"/>
        <w:gridCol w:w="2150"/>
        <w:gridCol w:w="2606"/>
        <w:gridCol w:w="3832"/>
      </w:tblGrid>
      <w:tr w:rsidR="008B4047" w:rsidRPr="005A58A5" w14:paraId="54BCA59E" w14:textId="77777777" w:rsidTr="00BF4A6F">
        <w:trPr>
          <w:trHeight w:val="425"/>
        </w:trPr>
        <w:tc>
          <w:tcPr>
            <w:tcW w:w="623" w:type="dxa"/>
          </w:tcPr>
          <w:p w14:paraId="22406D36" w14:textId="37CEADC3" w:rsidR="008B4047" w:rsidRPr="00092688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88" w:type="dxa"/>
            <w:gridSpan w:val="3"/>
          </w:tcPr>
          <w:p w14:paraId="1CAA84FD" w14:textId="761D2D94" w:rsidR="008B4047" w:rsidRPr="00092688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>Nazwa programu zdrowotnego</w:t>
            </w:r>
          </w:p>
        </w:tc>
      </w:tr>
      <w:tr w:rsidR="008B4047" w:rsidRPr="005A58A5" w14:paraId="1AD7D266" w14:textId="77777777" w:rsidTr="00BF4A6F">
        <w:trPr>
          <w:trHeight w:val="853"/>
        </w:trPr>
        <w:tc>
          <w:tcPr>
            <w:tcW w:w="623" w:type="dxa"/>
          </w:tcPr>
          <w:p w14:paraId="642A71B8" w14:textId="77777777" w:rsidR="008B4047" w:rsidRPr="00092688" w:rsidRDefault="008B4047" w:rsidP="00DC1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597915" w14:textId="77777777" w:rsidR="008B4047" w:rsidRPr="00092688" w:rsidRDefault="008B4047" w:rsidP="00DC1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8" w:type="dxa"/>
            <w:gridSpan w:val="3"/>
          </w:tcPr>
          <w:p w14:paraId="42870148" w14:textId="77777777" w:rsidR="008B4047" w:rsidRPr="00092688" w:rsidRDefault="008B4047" w:rsidP="00DC1C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048FB26" w14:textId="36F53A4C" w:rsidR="008B4047" w:rsidRPr="00092688" w:rsidRDefault="008B4047" w:rsidP="00DC1C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 xml:space="preserve">Program profilaktyki chorób </w:t>
            </w:r>
            <w:proofErr w:type="spellStart"/>
            <w:r w:rsidRPr="00092688">
              <w:rPr>
                <w:rFonts w:ascii="Times New Roman" w:hAnsi="Times New Roman" w:cs="Times New Roman"/>
              </w:rPr>
              <w:t>odtytoniowych</w:t>
            </w:r>
            <w:proofErr w:type="spellEnd"/>
            <w:r w:rsidRPr="00092688">
              <w:rPr>
                <w:rFonts w:ascii="Times New Roman" w:hAnsi="Times New Roman" w:cs="Times New Roman"/>
              </w:rPr>
              <w:t>, w tym przewlekłej obturacyjnej choroby płuc (</w:t>
            </w:r>
            <w:proofErr w:type="spellStart"/>
            <w:r w:rsidRPr="00092688">
              <w:rPr>
                <w:rFonts w:ascii="Times New Roman" w:hAnsi="Times New Roman" w:cs="Times New Roman"/>
              </w:rPr>
              <w:t>POChP</w:t>
            </w:r>
            <w:proofErr w:type="spellEnd"/>
            <w:r w:rsidRPr="00092688">
              <w:rPr>
                <w:rFonts w:ascii="Times New Roman" w:hAnsi="Times New Roman" w:cs="Times New Roman"/>
              </w:rPr>
              <w:t>)</w:t>
            </w:r>
          </w:p>
        </w:tc>
      </w:tr>
      <w:tr w:rsidR="008B4047" w:rsidRPr="005A58A5" w14:paraId="0BEBC51B" w14:textId="77777777" w:rsidTr="00BF4A6F">
        <w:trPr>
          <w:trHeight w:val="734"/>
        </w:trPr>
        <w:tc>
          <w:tcPr>
            <w:tcW w:w="3256" w:type="dxa"/>
            <w:gridSpan w:val="2"/>
            <w:vMerge w:val="restart"/>
          </w:tcPr>
          <w:p w14:paraId="64AF549D" w14:textId="77777777" w:rsidR="008B4047" w:rsidRPr="00BF4A6F" w:rsidRDefault="008B4047" w:rsidP="00BF4A6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4E08C4" w14:textId="77777777" w:rsidR="008B4047" w:rsidRPr="00BF4A6F" w:rsidRDefault="008B4047" w:rsidP="00BF4A6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4A6F">
              <w:rPr>
                <w:rFonts w:ascii="Times New Roman" w:hAnsi="Times New Roman" w:cs="Times New Roman"/>
              </w:rPr>
              <w:t>Zakres świadczenia gwarantowanego</w:t>
            </w:r>
          </w:p>
        </w:tc>
        <w:tc>
          <w:tcPr>
            <w:tcW w:w="5946" w:type="dxa"/>
            <w:gridSpan w:val="2"/>
          </w:tcPr>
          <w:p w14:paraId="0DB3191A" w14:textId="77777777" w:rsidR="008B4047" w:rsidRPr="00BF4A6F" w:rsidRDefault="008B4047" w:rsidP="00BF4A6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AD6C261" w14:textId="77777777" w:rsidR="008B4047" w:rsidRPr="00BF4A6F" w:rsidRDefault="008B4047" w:rsidP="00BF4A6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F4A6F">
              <w:rPr>
                <w:rFonts w:ascii="Times New Roman" w:hAnsi="Times New Roman" w:cs="Times New Roman"/>
              </w:rPr>
              <w:t>Warunki realizacji świadczeń gwarantowanych</w:t>
            </w:r>
          </w:p>
        </w:tc>
      </w:tr>
      <w:tr w:rsidR="008B4047" w:rsidRPr="005A58A5" w14:paraId="6E3BFDF9" w14:textId="77777777" w:rsidTr="00BF4A6F">
        <w:trPr>
          <w:trHeight w:val="710"/>
        </w:trPr>
        <w:tc>
          <w:tcPr>
            <w:tcW w:w="3256" w:type="dxa"/>
            <w:gridSpan w:val="2"/>
            <w:vMerge/>
          </w:tcPr>
          <w:p w14:paraId="6EF54352" w14:textId="77777777" w:rsidR="008B4047" w:rsidRPr="00B92EFF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2248890" w14:textId="77777777" w:rsidR="008B4047" w:rsidRPr="00B92EFF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</w:p>
          <w:p w14:paraId="5E97EC2E" w14:textId="77777777" w:rsidR="008B4047" w:rsidRPr="00B92EFF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B92EFF">
              <w:rPr>
                <w:rFonts w:ascii="Times New Roman" w:hAnsi="Times New Roman" w:cs="Times New Roman"/>
              </w:rPr>
              <w:t>Świadczeniobiorcy</w:t>
            </w:r>
          </w:p>
        </w:tc>
        <w:tc>
          <w:tcPr>
            <w:tcW w:w="3113" w:type="dxa"/>
          </w:tcPr>
          <w:p w14:paraId="054C81D2" w14:textId="77777777" w:rsidR="008B4047" w:rsidRPr="00B92EFF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</w:p>
          <w:p w14:paraId="631D1859" w14:textId="77777777" w:rsidR="008B4047" w:rsidRPr="00B92EFF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B92EFF">
              <w:rPr>
                <w:rFonts w:ascii="Times New Roman" w:hAnsi="Times New Roman" w:cs="Times New Roman"/>
              </w:rPr>
              <w:t>Świadczeniodawcy</w:t>
            </w:r>
          </w:p>
        </w:tc>
      </w:tr>
      <w:tr w:rsidR="008B4047" w:rsidRPr="005A58A5" w14:paraId="6C41C8E3" w14:textId="77777777" w:rsidTr="00BF4A6F">
        <w:trPr>
          <w:trHeight w:val="350"/>
        </w:trPr>
        <w:tc>
          <w:tcPr>
            <w:tcW w:w="3256" w:type="dxa"/>
            <w:gridSpan w:val="2"/>
          </w:tcPr>
          <w:p w14:paraId="0E8B2C07" w14:textId="77777777" w:rsidR="008B4047" w:rsidRPr="00092688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14:paraId="0C24B1AF" w14:textId="77777777" w:rsidR="008B4047" w:rsidRPr="00092688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14:paraId="76C12F55" w14:textId="77777777" w:rsidR="008B4047" w:rsidRPr="00092688" w:rsidRDefault="008B4047" w:rsidP="00DC1CBB">
            <w:pPr>
              <w:jc w:val="center"/>
              <w:rPr>
                <w:rFonts w:ascii="Times New Roman" w:hAnsi="Times New Roman" w:cs="Times New Roman"/>
              </w:rPr>
            </w:pPr>
            <w:r w:rsidRPr="00092688">
              <w:rPr>
                <w:rFonts w:ascii="Times New Roman" w:hAnsi="Times New Roman" w:cs="Times New Roman"/>
              </w:rPr>
              <w:t>3</w:t>
            </w:r>
          </w:p>
        </w:tc>
      </w:tr>
      <w:tr w:rsidR="008B4047" w:rsidRPr="005A58A5" w14:paraId="587444A7" w14:textId="77777777" w:rsidTr="00BF4A6F">
        <w:tc>
          <w:tcPr>
            <w:tcW w:w="3256" w:type="dxa"/>
            <w:gridSpan w:val="2"/>
          </w:tcPr>
          <w:p w14:paraId="32C493CB" w14:textId="77777777" w:rsidR="008B4047" w:rsidRPr="00092688" w:rsidRDefault="008B4047" w:rsidP="008B4047">
            <w:p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Etap podstawowy</w:t>
            </w:r>
          </w:p>
          <w:p w14:paraId="3A6698CE" w14:textId="77777777" w:rsidR="008B4047" w:rsidRPr="00092688" w:rsidRDefault="008B4047" w:rsidP="008B404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before="120" w:after="12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Poradnictwo antynikotynowe</w:t>
            </w:r>
          </w:p>
          <w:p w14:paraId="4C012ECF" w14:textId="08B610D3" w:rsidR="005A58A5" w:rsidRDefault="00430809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0809">
              <w:rPr>
                <w:rFonts w:ascii="Times New Roman" w:hAnsi="Times New Roman" w:cs="Times New Roman"/>
                <w:color w:val="000000" w:themeColor="text1"/>
              </w:rPr>
              <w:t xml:space="preserve">zebranie wywiadu dotyczącego używania wyrobów tytoniowych (w tym </w:t>
            </w:r>
            <w:r w:rsidR="00D42092">
              <w:rPr>
                <w:rFonts w:ascii="Times New Roman" w:hAnsi="Times New Roman" w:cs="Times New Roman"/>
                <w:color w:val="000000" w:themeColor="text1"/>
              </w:rPr>
              <w:t>nowatorskich wyrobów tytoniowych</w:t>
            </w:r>
            <w:r w:rsidRPr="0043080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0809" w:rsidDel="004308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>lub papierosów elektronicznych, z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 xml:space="preserve">uwzględnieniem: wieku rozpoczęcia, liczby lat używania </w:t>
            </w:r>
            <w:r w:rsidR="00524B44">
              <w:rPr>
                <w:rFonts w:ascii="Times New Roman" w:hAnsi="Times New Roman" w:cs="Times New Roman"/>
                <w:color w:val="000000" w:themeColor="text1"/>
              </w:rPr>
              <w:t>tych</w:t>
            </w:r>
            <w:r w:rsidR="00524B44" w:rsidRPr="000926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 xml:space="preserve">wyrobów, liczby wypalanych papierosów (ilości </w:t>
            </w:r>
            <w:r w:rsidR="00D42092">
              <w:rPr>
                <w:rFonts w:ascii="Times New Roman" w:hAnsi="Times New Roman" w:cs="Times New Roman"/>
                <w:color w:val="000000" w:themeColor="text1"/>
              </w:rPr>
              <w:t>zużywanego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 xml:space="preserve"> tytoniu dziennie </w:t>
            </w:r>
            <w:r w:rsidR="005A58A5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="005A58A5" w:rsidRPr="000926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>ilości zużywanego płyn</w:t>
            </w:r>
            <w:r w:rsidR="0068281D" w:rsidRPr="00092688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 xml:space="preserve"> do ponownego napełniania elektronicznych papierosów tygodniowo</w:t>
            </w:r>
            <w:r w:rsidR="002168A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>, liczby prób zaprzestania używania i czasu ich trwania, chęci zaprzestania i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>motywacji do wprowadzenia zmian oraz ocenę poziomu uzależnienia;</w:t>
            </w:r>
          </w:p>
          <w:p w14:paraId="3B255C18" w14:textId="0DBAEE42" w:rsidR="00D42092" w:rsidRPr="00B6224A" w:rsidRDefault="00D42092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>przeprowadzenie wywiadu dotyczącego chorób współistniejących</w:t>
            </w:r>
            <w:r w:rsidR="00B6224A" w:rsidRPr="00B6224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299982" w14:textId="01DAC083" w:rsidR="008B4047" w:rsidRPr="00B6224A" w:rsidRDefault="008B4047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>pomiar masy ciała, wzrostu, ciśnienia tętniczego krwi;</w:t>
            </w:r>
          </w:p>
          <w:p w14:paraId="11F31501" w14:textId="40181D02" w:rsidR="008B4047" w:rsidRPr="00B6224A" w:rsidRDefault="008B4047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>badanie fizykalne;</w:t>
            </w:r>
          </w:p>
          <w:p w14:paraId="067E1207" w14:textId="7ABE1E68" w:rsidR="00524B44" w:rsidRPr="00092688" w:rsidRDefault="008B4047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 xml:space="preserve">edukacja dotycząca 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lastRenderedPageBreak/>
              <w:t>skutków zdrowotnych związanych z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 xml:space="preserve">używaniem wyrobów tytoniowych oraz elektronicznych 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papierosów; poinformowanie, że narażenie na bierną inhalację substancji wytwarzanych przez </w:t>
            </w:r>
            <w:r w:rsidR="00524B44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produkty jest szkodliwe dla zdrowia, w tym dzieci;</w:t>
            </w:r>
          </w:p>
          <w:p w14:paraId="78DBEA20" w14:textId="2CD17B90" w:rsidR="00524B44" w:rsidRPr="00092688" w:rsidRDefault="008B4047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 w przypadku kobiet </w:t>
            </w:r>
            <w:r w:rsidR="008C5F12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5F12">
              <w:rPr>
                <w:rFonts w:ascii="Times New Roman" w:hAnsi="Times New Roman" w:cs="Times New Roman"/>
                <w:color w:val="000000" w:themeColor="text1"/>
              </w:rPr>
              <w:t xml:space="preserve">dodatkowo 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poinformowanie, że palenie wyrobów tytoniowych jest czynnikiem ryzyka zachorowania na raka 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>szyjki macicy i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>udzielenie informacji o Programie profilaktyki raka szyjki macicy oraz poinformowanie, iż w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>okresie prokreacji palenie</w:t>
            </w:r>
            <w:r w:rsidR="0068281D" w:rsidRPr="00B6224A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="008362CF" w:rsidRPr="00B6224A">
              <w:rPr>
                <w:rFonts w:ascii="Times New Roman" w:hAnsi="Times New Roman" w:cs="Times New Roman"/>
                <w:color w:val="000000" w:themeColor="text1"/>
              </w:rPr>
              <w:t>używanie nowatorskich wyrobów tytoniowych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 xml:space="preserve"> lub używanie elektronicznych papierosów może wpływać niekorzystnie na przebieg 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ciąży i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rozwój płodu; </w:t>
            </w:r>
          </w:p>
          <w:p w14:paraId="109B9A1F" w14:textId="10773C2F" w:rsidR="008B4047" w:rsidRPr="00092688" w:rsidRDefault="008B4047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porada antynikotynowa z zaplanowaniem leczenia dla świadczeniobiorców, którzy wykażą gotowość rzucenia palenia lub zaprzestania używania </w:t>
            </w:r>
            <w:r w:rsidR="008362CF">
              <w:rPr>
                <w:rFonts w:ascii="Times New Roman" w:hAnsi="Times New Roman" w:cs="Times New Roman"/>
                <w:color w:val="000000" w:themeColor="text1"/>
              </w:rPr>
              <w:t>nowatorskich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wyrobów tytoniowych lub używania elektronicznych papierosów w okresie najbliższych 30 dni, a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przypadku braku motywacji - zidentyfikowanie powodu i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uświadomienie zagrożenia chorobami </w:t>
            </w:r>
            <w:proofErr w:type="spellStart"/>
            <w:r w:rsidRPr="00092688">
              <w:rPr>
                <w:rFonts w:ascii="Times New Roman" w:hAnsi="Times New Roman" w:cs="Times New Roman"/>
                <w:color w:val="000000" w:themeColor="text1"/>
              </w:rPr>
              <w:t>odtytoniowymi</w:t>
            </w:r>
            <w:proofErr w:type="spellEnd"/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oraz związanymi z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używaniem elektronicznych 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lastRenderedPageBreak/>
              <w:t>papierosów;</w:t>
            </w:r>
          </w:p>
          <w:p w14:paraId="3C744C03" w14:textId="494C9C3C" w:rsidR="008B4047" w:rsidRPr="00092688" w:rsidRDefault="008B4047" w:rsidP="00BF4A6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>prowadzenie leczenia zgodnie z ustalonym ze</w:t>
            </w:r>
            <w:r w:rsidR="003B4F6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świadczeniobiorcą schematem postępowania.</w:t>
            </w:r>
          </w:p>
          <w:p w14:paraId="5494E422" w14:textId="1B127660" w:rsidR="008B4047" w:rsidRPr="00092688" w:rsidRDefault="008B4047" w:rsidP="008B4047">
            <w:pPr>
              <w:pStyle w:val="Akapitzlist"/>
              <w:widowControl w:val="0"/>
              <w:tabs>
                <w:tab w:val="left" w:pos="164"/>
              </w:tabs>
              <w:autoSpaceDE w:val="0"/>
              <w:autoSpaceDN w:val="0"/>
              <w:adjustRightInd w:val="0"/>
              <w:spacing w:before="120" w:after="12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II. Diagnostyka i</w:t>
            </w:r>
            <w:r w:rsidR="000E06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profilaktyka POCHP</w:t>
            </w:r>
          </w:p>
          <w:p w14:paraId="511F6D04" w14:textId="697B0834" w:rsidR="002168AA" w:rsidRPr="002168AA" w:rsidRDefault="0055682C" w:rsidP="00BF4A6F">
            <w:pPr>
              <w:pStyle w:val="Tekstkomentarz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68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zebranie wywiadu dotyczącego używania wyrobów tytoniowych (w tym </w:t>
            </w:r>
            <w:r w:rsidR="00D420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nowatorskich wyrobów tytoniowych</w:t>
            </w:r>
            <w:r w:rsidRPr="005568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="008B4047" w:rsidRPr="002168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lub </w:t>
            </w:r>
            <w:r w:rsidRPr="00CC49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papierosów elektronicznych, z</w:t>
            </w:r>
            <w:r w:rsidR="000E06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CC49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uwzględnieniem: wieku rozpoczęcia, liczby lat używania tych wyrobów, liczby wypalanych papierosów (ilości wypalanego tytoniu dziennie </w:t>
            </w:r>
            <w:r w:rsidR="00D420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przez wyroby tytoniowe </w:t>
            </w:r>
            <w:r w:rsidRPr="00CC49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lub ilości zużywanego płynu do ponownego napełniania elektronicznych papierosów tygodniowo)</w:t>
            </w:r>
            <w:r w:rsidRPr="005568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liczby prób zaprzestania używania i czasu ich trwania, chęci zaprzestania i</w:t>
            </w:r>
            <w:r w:rsidR="000E06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5568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motywacji do wprowadzenia zmian oraz ocenę poziomu uzależnienia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AEACBE" w14:textId="060788E7" w:rsidR="008B4047" w:rsidRPr="00B92EFF" w:rsidRDefault="000E621C" w:rsidP="00BF4A6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B4047" w:rsidRPr="00B92EFF">
              <w:rPr>
                <w:rFonts w:ascii="Times New Roman" w:hAnsi="Times New Roman" w:cs="Times New Roman"/>
              </w:rPr>
              <w:t>omiar masy ciała, wzrostu, ciśnienia tętniczego krwi;</w:t>
            </w:r>
          </w:p>
          <w:p w14:paraId="17C036AB" w14:textId="6A1BB798" w:rsidR="002168AA" w:rsidRPr="002168AA" w:rsidRDefault="000E621C" w:rsidP="00BF4A6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B4047" w:rsidRPr="002168AA">
              <w:rPr>
                <w:rFonts w:ascii="Times New Roman" w:hAnsi="Times New Roman" w:cs="Times New Roman"/>
              </w:rPr>
              <w:t xml:space="preserve">adanie fizykalne; </w:t>
            </w:r>
          </w:p>
          <w:p w14:paraId="233269C8" w14:textId="1239C0CD" w:rsidR="002168AA" w:rsidRPr="002168AA" w:rsidRDefault="000E621C" w:rsidP="00BF4A6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8B4047" w:rsidRPr="002168AA">
              <w:rPr>
                <w:rFonts w:ascii="Times New Roman" w:hAnsi="Times New Roman" w:cs="Times New Roman"/>
                <w:color w:val="000000" w:themeColor="text1"/>
              </w:rPr>
              <w:t>adanie spirometryczne u osób w wieku 40-65 lat (przy określaniu wieku należy wziąć pod uwagę rok urodzenia);</w:t>
            </w:r>
          </w:p>
          <w:p w14:paraId="1AC01139" w14:textId="209A1C4D" w:rsidR="008B4047" w:rsidRPr="00092688" w:rsidRDefault="000E621C" w:rsidP="00BF4A6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B4047" w:rsidRPr="00092688">
              <w:rPr>
                <w:rFonts w:ascii="Times New Roman" w:hAnsi="Times New Roman" w:cs="Times New Roman"/>
              </w:rPr>
              <w:t>dukacja dotycząca skutków zdrowotnych używania wyrobów tytoniowych</w:t>
            </w:r>
            <w:r w:rsidR="0055682C">
              <w:rPr>
                <w:rFonts w:ascii="Times New Roman" w:hAnsi="Times New Roman" w:cs="Times New Roman"/>
              </w:rPr>
              <w:t xml:space="preserve"> </w:t>
            </w:r>
            <w:r w:rsidR="008B4047" w:rsidRPr="00092688">
              <w:rPr>
                <w:rFonts w:ascii="Times New Roman" w:hAnsi="Times New Roman" w:cs="Times New Roman"/>
              </w:rPr>
              <w:t>oraz elektronicznych papierosów</w:t>
            </w:r>
            <w:r w:rsidR="008B4047" w:rsidRPr="0009268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5616DCE" w14:textId="2FF6B1E5" w:rsidR="008B4047" w:rsidRPr="00092688" w:rsidRDefault="008B4047" w:rsidP="00F13F9D">
            <w:pPr>
              <w:pStyle w:val="divpk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poinformowanie, że palenie tytoniu jest głównym czynnikiem ryzyka zachorowania na </w:t>
            </w:r>
            <w:proofErr w:type="spellStart"/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POChP</w:t>
            </w:r>
            <w:proofErr w:type="spellEnd"/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raka płuca, 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krtani i pęcherza moczowego i</w:t>
            </w:r>
            <w:r w:rsidR="005532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innych chorób nowotworowych oraz chorób układu krążenia</w:t>
            </w:r>
            <w:r w:rsidR="00DD52B7"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w tym udzielenie informacji na temat profilaktyki chorób układu krążenia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15BE5739" w14:textId="26137376" w:rsidR="008B4047" w:rsidRPr="00092688" w:rsidRDefault="00DF7D45" w:rsidP="00F13F9D">
            <w:pPr>
              <w:pStyle w:val="divpk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D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zwrócenie uwagi, że narażenie na bierną inhalację substancji wytwarzanych przez wyroby tytoniowe i</w:t>
            </w:r>
            <w:r w:rsidR="005532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DF7D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elektroniczne papierosy jest szkodliwe dla zdrowia, w tym </w:t>
            </w:r>
            <w:r w:rsidRPr="00143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</w:t>
            </w:r>
            <w:r w:rsidR="008B4047" w:rsidRPr="00143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5B19D2B3" w14:textId="09EC77D4" w:rsidR="000E621C" w:rsidRDefault="008B4047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>w przypadku kobiet - poinformowanie również, że palenie tytoniu jest czynnikiem ryzyka zachorowania na raka szyjki macicy i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udzielenie informacji o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Programie profilaktyki raka szyjki macicy</w:t>
            </w:r>
            <w:r w:rsidR="001435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A66DA14" w14:textId="4FBDB763" w:rsidR="0055682C" w:rsidRPr="00092688" w:rsidRDefault="0055682C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zwrócenie uwagi, że jedynym skutecznym sposobem rzucenia palenia jest całkowita rezygnacja z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używania wyrobów nikotynowych</w:t>
            </w:r>
            <w:r w:rsidR="0014357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111E9F2" w14:textId="32353FCA" w:rsidR="00A325F6" w:rsidRPr="00553249" w:rsidRDefault="00407E4E" w:rsidP="00320D2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249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8B4047" w:rsidRPr="00553249">
              <w:rPr>
                <w:rFonts w:ascii="Times New Roman" w:hAnsi="Times New Roman" w:cs="Times New Roman"/>
              </w:rPr>
              <w:t>orada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t xml:space="preserve"> antynikotynowa z</w:t>
            </w:r>
            <w:r w:rsidR="00553249" w:rsidRPr="00606F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t>zaplanowaniem leczenia dla świadczeniobiorców, którzy wykażą gotowość podjęcia leczenia uzależnienia w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t>okresie najbliższych 30 dni, a w przypadku braku motywacji − zidentyfikowanie powodu i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t>uświadomienie zagrożenia chorobami związanymi z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t xml:space="preserve">używaniem wyrobów 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lastRenderedPageBreak/>
              <w:t>tytoniowych i</w:t>
            </w:r>
            <w:r w:rsidR="005532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553249">
              <w:rPr>
                <w:rFonts w:ascii="Times New Roman" w:hAnsi="Times New Roman" w:cs="Times New Roman"/>
                <w:color w:val="000000" w:themeColor="text1"/>
              </w:rPr>
              <w:t>elektronicznych papierosów;</w:t>
            </w:r>
          </w:p>
          <w:p w14:paraId="1BFD029E" w14:textId="3F77A427" w:rsidR="00407E4E" w:rsidRPr="00A325F6" w:rsidRDefault="008B4047" w:rsidP="00320D2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0D22">
              <w:rPr>
                <w:rFonts w:ascii="Times" w:hAnsi="Times" w:cs="Times"/>
                <w:color w:val="000000" w:themeColor="text1"/>
              </w:rPr>
              <w:t>prowadzenie</w:t>
            </w:r>
            <w:r w:rsidRPr="00320D22">
              <w:rPr>
                <w:rFonts w:ascii="Times" w:hAnsi="Times" w:cs="Times"/>
              </w:rPr>
              <w:t xml:space="preserve"> leczenia </w:t>
            </w:r>
            <w:r w:rsidRPr="00320D22">
              <w:rPr>
                <w:rFonts w:ascii="Times" w:hAnsi="Times" w:cs="Times"/>
                <w:color w:val="000000" w:themeColor="text1"/>
              </w:rPr>
              <w:t>zgodnie</w:t>
            </w:r>
            <w:r w:rsidR="00A325F6" w:rsidRPr="00320D22">
              <w:rPr>
                <w:rFonts w:ascii="Times" w:hAnsi="Times" w:cs="Times"/>
                <w:color w:val="000000" w:themeColor="text1"/>
              </w:rPr>
              <w:t xml:space="preserve"> </w:t>
            </w:r>
            <w:r w:rsidRPr="00320D22">
              <w:rPr>
                <w:rFonts w:ascii="Times" w:hAnsi="Times" w:cs="Times"/>
                <w:color w:val="000000" w:themeColor="text1"/>
              </w:rPr>
              <w:t>z</w:t>
            </w:r>
            <w:r w:rsidR="00553249">
              <w:rPr>
                <w:rFonts w:ascii="Times" w:hAnsi="Times" w:cs="Times"/>
                <w:color w:val="000000" w:themeColor="text1"/>
              </w:rPr>
              <w:t> </w:t>
            </w:r>
            <w:r w:rsidRPr="00320D22">
              <w:rPr>
                <w:rFonts w:ascii="Times" w:hAnsi="Times" w:cs="Times"/>
                <w:color w:val="000000" w:themeColor="text1"/>
              </w:rPr>
              <w:t>ustalonym ze świadczeniobiorcą</w:t>
            </w:r>
            <w:r w:rsidR="00A32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46F8">
              <w:rPr>
                <w:rFonts w:ascii="Times New Roman" w:hAnsi="Times New Roman" w:cs="Times New Roman"/>
                <w:color w:val="000000" w:themeColor="text1"/>
              </w:rPr>
              <w:t>schematem postępowania.</w:t>
            </w:r>
          </w:p>
        </w:tc>
        <w:tc>
          <w:tcPr>
            <w:tcW w:w="2833" w:type="dxa"/>
          </w:tcPr>
          <w:p w14:paraId="545A2AFC" w14:textId="77777777" w:rsidR="008B4047" w:rsidRPr="0055682C" w:rsidRDefault="008B4047" w:rsidP="008B4047">
            <w:pPr>
              <w:spacing w:before="120" w:after="120"/>
              <w:ind w:left="172" w:hanging="17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68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1. Kryteria kwalifikacji do etapu podstawowego</w:t>
            </w:r>
          </w:p>
          <w:p w14:paraId="222FD93E" w14:textId="77777777" w:rsidR="008B4047" w:rsidRPr="0055682C" w:rsidRDefault="008B4047" w:rsidP="008B4047">
            <w:pPr>
              <w:spacing w:before="120" w:after="120"/>
              <w:ind w:left="172" w:hanging="1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68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I. Poradnictwo antynikotynowe</w:t>
            </w:r>
          </w:p>
          <w:p w14:paraId="20ADF53E" w14:textId="3377E0AF" w:rsidR="008B4047" w:rsidRPr="00B92EFF" w:rsidRDefault="008B4047" w:rsidP="008B4047">
            <w:pPr>
              <w:spacing w:before="120" w:after="120"/>
              <w:ind w:left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682C">
              <w:rPr>
                <w:rFonts w:ascii="Times New Roman" w:hAnsi="Times New Roman" w:cs="Times New Roman"/>
                <w:color w:val="000000" w:themeColor="text1"/>
              </w:rPr>
              <w:t xml:space="preserve">Osoby powyżej 18. roku życia palące tytoń lub używające </w:t>
            </w:r>
            <w:r w:rsidR="00D42092">
              <w:rPr>
                <w:rFonts w:ascii="Times New Roman" w:hAnsi="Times New Roman" w:cs="Times New Roman"/>
                <w:color w:val="000000" w:themeColor="text1"/>
              </w:rPr>
              <w:t>nowatorskich wyrobów tytoniowych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lub elektroniczn</w:t>
            </w:r>
            <w:r w:rsidR="00E013F2">
              <w:rPr>
                <w:rFonts w:ascii="Times New Roman" w:hAnsi="Times New Roman" w:cs="Times New Roman"/>
                <w:color w:val="000000" w:themeColor="text1"/>
              </w:rPr>
              <w:t>ych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papieros</w:t>
            </w:r>
            <w:r w:rsidR="00E013F2">
              <w:rPr>
                <w:rFonts w:ascii="Times New Roman" w:hAnsi="Times New Roman" w:cs="Times New Roman"/>
                <w:color w:val="000000" w:themeColor="text1"/>
              </w:rPr>
              <w:t>ów.</w:t>
            </w:r>
          </w:p>
          <w:p w14:paraId="4CA61D92" w14:textId="2E125AC7" w:rsidR="008B4047" w:rsidRPr="00B92EFF" w:rsidRDefault="008B4047" w:rsidP="008B4047">
            <w:pPr>
              <w:spacing w:before="120" w:after="120"/>
              <w:ind w:left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II. Diagnostyka i</w:t>
            </w:r>
            <w:r w:rsidR="00DE44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profilaktyka </w:t>
            </w:r>
            <w:proofErr w:type="spellStart"/>
            <w:r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POChP</w:t>
            </w:r>
            <w:proofErr w:type="spellEnd"/>
          </w:p>
          <w:p w14:paraId="15E359F6" w14:textId="4BB02978" w:rsidR="00E013F2" w:rsidRPr="00B92EFF" w:rsidRDefault="008B4047" w:rsidP="00E013F2">
            <w:pPr>
              <w:spacing w:before="120" w:after="120"/>
              <w:ind w:left="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Osoby pomiędzy 40. a 65. rokiem życia (przy określaniu wieku należy wziąć pod uwagę rok urodzenia), które nie miały wykonanych badań spirometrycznych w ramach programu w okresie ostatnich 36 miesięcy, u których nie zdiagnozowano wcześniej, w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sposób potwierdzony badaniem spirometrycznym, </w:t>
            </w:r>
            <w:proofErr w:type="spellStart"/>
            <w:r w:rsidRPr="00B92EFF">
              <w:rPr>
                <w:rFonts w:ascii="Times New Roman" w:hAnsi="Times New Roman" w:cs="Times New Roman"/>
                <w:color w:val="000000" w:themeColor="text1"/>
              </w:rPr>
              <w:t>POChP</w:t>
            </w:r>
            <w:proofErr w:type="spellEnd"/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(lub przewlekłego zapalenia oskrzeli lub rozedmy).</w:t>
            </w:r>
          </w:p>
          <w:p w14:paraId="12A58744" w14:textId="3AF9BE1F" w:rsidR="008B4047" w:rsidRPr="00B92EFF" w:rsidRDefault="008B4047" w:rsidP="008B4047">
            <w:pPr>
              <w:spacing w:before="120" w:after="120"/>
              <w:ind w:left="172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 Wyłączenie z etapu podstawowego programu oraz ewentualne dodatkowe działania:</w:t>
            </w:r>
          </w:p>
          <w:p w14:paraId="73430953" w14:textId="6D5B4329" w:rsidR="008B4047" w:rsidRPr="00B92EFF" w:rsidRDefault="008B4047" w:rsidP="00092688">
            <w:pPr>
              <w:pStyle w:val="Akapitzlist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skierowanie świadczeniobiorcy (osoby ze średnim 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lastRenderedPageBreak/>
              <w:t>i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wysokim stopniem motywacji do rzucenia palenia oraz kobiety palące w ciąży) do etapu specjalistycznego programu wraz z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przekazaniem kopii dokumentacji medycznej dotyczącej przebiegu etapu podstawowego </w:t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sym w:font="Symbol" w:char="F02D"/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przypadku niepowodzenia terapii po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30 dniach;</w:t>
            </w:r>
          </w:p>
          <w:p w14:paraId="6DC9BC3F" w14:textId="612C5AC1" w:rsidR="008B4047" w:rsidRPr="00092688" w:rsidRDefault="008B4047" w:rsidP="00092688">
            <w:pPr>
              <w:pStyle w:val="Akapitzlist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dodatkowo skierowanie do odpowiedniego świadczeniodawcy</w:t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sym w:font="Symbol" w:char="F02D"/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  <w:r w:rsidR="00DE443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przypadku świadczeniobiorców ze stwierdzonymi</w:t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na podstawie przeprowadzonego badania lekarskiego</w:t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nieprawidłowościami wymagającymi dalszej diagnostyki lub leczenia, a w przypadku nieprawidłowego badania spirometrycznego </w:t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sym w:font="Symbol" w:char="F02D"/>
            </w:r>
            <w:r w:rsidR="00D84D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do dalszej diagnostyki pulmonologicznej.</w:t>
            </w:r>
          </w:p>
          <w:p w14:paraId="6F47A9E8" w14:textId="77777777" w:rsidR="008B4047" w:rsidRPr="00092688" w:rsidRDefault="008B4047" w:rsidP="008B40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3" w:type="dxa"/>
          </w:tcPr>
          <w:p w14:paraId="2B4E0E36" w14:textId="266ABEAD" w:rsidR="008B4047" w:rsidRPr="00B92EFF" w:rsidRDefault="00643035" w:rsidP="008B404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</w:t>
            </w:r>
            <w:r w:rsidR="008B4047" w:rsidRPr="00092688">
              <w:rPr>
                <w:rFonts w:ascii="Times New Roman" w:hAnsi="Times New Roman" w:cs="Times New Roman"/>
                <w:b/>
                <w:bCs/>
              </w:rPr>
              <w:t>Tryb realizacji świadczenia w</w:t>
            </w:r>
            <w:r w:rsidR="0029234C">
              <w:rPr>
                <w:rFonts w:ascii="Times New Roman" w:hAnsi="Times New Roman" w:cs="Times New Roman"/>
                <w:b/>
                <w:bCs/>
              </w:rPr>
              <w:t> </w:t>
            </w:r>
            <w:r w:rsidR="008B4047" w:rsidRPr="00B92EFF">
              <w:rPr>
                <w:rFonts w:ascii="Times New Roman" w:hAnsi="Times New Roman" w:cs="Times New Roman"/>
                <w:b/>
                <w:bCs/>
              </w:rPr>
              <w:t>etapie podstawowym</w:t>
            </w:r>
          </w:p>
          <w:p w14:paraId="6C83FADE" w14:textId="77777777" w:rsidR="008B4047" w:rsidRPr="00B92EFF" w:rsidRDefault="008B4047" w:rsidP="008B404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92EFF">
              <w:rPr>
                <w:rFonts w:ascii="Times New Roman" w:hAnsi="Times New Roman" w:cs="Times New Roman"/>
              </w:rPr>
              <w:t>- ambulatoryjny.</w:t>
            </w:r>
          </w:p>
          <w:p w14:paraId="1E3BFAE8" w14:textId="5F37184B" w:rsidR="008B4047" w:rsidRPr="00B92EFF" w:rsidRDefault="00643035" w:rsidP="008B404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8B4047" w:rsidRPr="00B92EFF">
              <w:rPr>
                <w:rFonts w:ascii="Times New Roman" w:hAnsi="Times New Roman" w:cs="Times New Roman"/>
                <w:b/>
                <w:bCs/>
              </w:rPr>
              <w:t>Warunki wymagane od</w:t>
            </w:r>
            <w:r w:rsidR="006F34DC">
              <w:rPr>
                <w:rFonts w:ascii="Times New Roman" w:hAnsi="Times New Roman" w:cs="Times New Roman"/>
                <w:b/>
                <w:bCs/>
              </w:rPr>
              <w:t> </w:t>
            </w:r>
            <w:r w:rsidR="008B4047" w:rsidRPr="00B92EFF">
              <w:rPr>
                <w:rFonts w:ascii="Times New Roman" w:hAnsi="Times New Roman" w:cs="Times New Roman"/>
                <w:b/>
                <w:bCs/>
              </w:rPr>
              <w:t>świadczeniodawców:</w:t>
            </w:r>
          </w:p>
          <w:p w14:paraId="7E154B41" w14:textId="7D8EA116" w:rsidR="008B4047" w:rsidRPr="00B6224A" w:rsidRDefault="008B4047" w:rsidP="00092688">
            <w:pPr>
              <w:pStyle w:val="Akapitzlist"/>
              <w:numPr>
                <w:ilvl w:val="0"/>
                <w:numId w:val="15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>personel: lekarz</w:t>
            </w:r>
            <w:r w:rsidR="00D42092" w:rsidRPr="00B6224A">
              <w:rPr>
                <w:rFonts w:ascii="Times New Roman" w:hAnsi="Times New Roman" w:cs="Times New Roman"/>
                <w:color w:val="000000" w:themeColor="text1"/>
              </w:rPr>
              <w:t xml:space="preserve">, z co najmniej rocznym stażem pracy w zawodzie, 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>posiadający</w:t>
            </w:r>
            <w:r w:rsidR="00D42092" w:rsidRPr="00B62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 xml:space="preserve">udokumentowane umiejętności w leczeniu zespołu uzależnienia od tytoniu; </w:t>
            </w:r>
            <w:r w:rsidR="00CC4990" w:rsidRPr="00B6224A">
              <w:rPr>
                <w:rFonts w:ascii="Times New Roman" w:hAnsi="Times New Roman" w:cs="Times New Roman"/>
                <w:bCs/>
                <w:color w:val="000000" w:themeColor="text1"/>
              </w:rPr>
              <w:t>dopuszcza się możliwość realizowania świadczenia przy dodatkowym udziale pielęgniarki lub położnej  posiadających udokumentowane umiejętności w leczeniu zespołu uzależnienia od tytoniu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0AF977" w14:textId="3A01B535" w:rsidR="00D42092" w:rsidRPr="00B6224A" w:rsidRDefault="00D42092" w:rsidP="00092688">
            <w:pPr>
              <w:pStyle w:val="Akapitzlist"/>
              <w:numPr>
                <w:ilvl w:val="0"/>
                <w:numId w:val="15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>badanie spirometryczne wykonywane przez lekarza</w:t>
            </w:r>
            <w:r w:rsidR="00E061E3" w:rsidRPr="00B6224A">
              <w:rPr>
                <w:rFonts w:ascii="Times New Roman" w:hAnsi="Times New Roman" w:cs="Times New Roman"/>
                <w:color w:val="000000" w:themeColor="text1"/>
              </w:rPr>
              <w:t xml:space="preserve"> podstawowej opieki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 xml:space="preserve"> lub pielęgniarkę posiadającą tytuł zawodowy magistra pielęgniarstwa lub po kursie specjalistycznym w tym zakresie</w:t>
            </w:r>
            <w:r w:rsidR="00E061E3" w:rsidRPr="00B6224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B3DF627" w14:textId="4033D0FD" w:rsidR="008B4047" w:rsidRPr="00B6224A" w:rsidRDefault="008B4047" w:rsidP="006208D4">
            <w:pPr>
              <w:pStyle w:val="Akapitzlist"/>
              <w:numPr>
                <w:ilvl w:val="0"/>
                <w:numId w:val="15"/>
              </w:num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</w:rPr>
              <w:t>wyposażenie w sprzęt i</w:t>
            </w:r>
            <w:r w:rsidR="006F34D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6224A">
              <w:rPr>
                <w:rFonts w:ascii="Times New Roman" w:hAnsi="Times New Roman" w:cs="Times New Roman"/>
                <w:color w:val="000000" w:themeColor="text1"/>
              </w:rPr>
              <w:t xml:space="preserve">aparaturę medyczną: </w:t>
            </w:r>
          </w:p>
          <w:p w14:paraId="13194030" w14:textId="1E3D37F9" w:rsidR="008B4047" w:rsidRDefault="008B4047" w:rsidP="006208D4">
            <w:pPr>
              <w:pStyle w:val="divpk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podstawowy zestaw reanimacyjny</w:t>
            </w:r>
            <w:r w:rsidRPr="006208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C5AFC1D" w14:textId="4E6E5E28" w:rsidR="0079693A" w:rsidRDefault="006208D4" w:rsidP="0079693A">
            <w:pPr>
              <w:pStyle w:val="divpk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08D4">
              <w:rPr>
                <w:rFonts w:ascii="Times New Roman" w:hAnsi="Times New Roman" w:cs="Times New Roman"/>
                <w:sz w:val="22"/>
                <w:szCs w:val="22"/>
              </w:rPr>
              <w:t>aparat EKG</w:t>
            </w:r>
          </w:p>
          <w:p w14:paraId="4B7A7D5B" w14:textId="7F6B5B93" w:rsidR="0029234C" w:rsidRDefault="0079693A" w:rsidP="0079693A">
            <w:pPr>
              <w:pStyle w:val="divpk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693A">
              <w:rPr>
                <w:rFonts w:ascii="Times New Roman" w:hAnsi="Times New Roman" w:cs="Times New Roman"/>
                <w:sz w:val="22"/>
                <w:szCs w:val="22"/>
              </w:rPr>
              <w:t>spirometr lub przystawka spirometryczna spełniająca następujące minimalne wymogi techniczne: funkcja mierzenia i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9693A">
              <w:rPr>
                <w:rFonts w:ascii="Times New Roman" w:hAnsi="Times New Roman" w:cs="Times New Roman"/>
                <w:sz w:val="22"/>
                <w:szCs w:val="22"/>
              </w:rPr>
              <w:t>rejestrowania zmiennych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9693A">
              <w:rPr>
                <w:rFonts w:ascii="Times New Roman" w:hAnsi="Times New Roman" w:cs="Times New Roman"/>
                <w:sz w:val="22"/>
                <w:szCs w:val="22"/>
              </w:rPr>
              <w:t>FEV1 i FVC oraz wydechowej części krzywej przepływ-objętość, czułość pomiaru: ±3% lub 0,05 L: zakres: 0-8 L; czas: 1 i 15 sek., prezentacja wyników pomiarów w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9693A">
              <w:rPr>
                <w:rFonts w:ascii="Times New Roman" w:hAnsi="Times New Roman" w:cs="Times New Roman"/>
                <w:sz w:val="22"/>
                <w:szCs w:val="22"/>
              </w:rPr>
              <w:t>wartościach należnych według ECCS/ERS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możliwość obserwacji wydechowej części krzywej przepływ-objętość w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czasie wykonywania badania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funkcja prezentacji i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archiwizacji wyniku (wydruk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8B4047" w:rsidRPr="0079693A">
              <w:rPr>
                <w:rFonts w:ascii="Times New Roman" w:hAnsi="Times New Roman" w:cs="Times New Roman"/>
                <w:sz w:val="22"/>
                <w:szCs w:val="22"/>
              </w:rPr>
              <w:t xml:space="preserve">rejestracja wydechowej części krzywej przepływ-objętość, 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prezentacja wyników trzech pomiarów spirometrycznych w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wartościach bezwzględnych i procentach wielkości należnej (według ECCS/ERS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funkcja obliczania wskaźnika FEV1/FVC w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wielkości bezwzględnej, oraz wyrażonej jako procent wielkości należnej</w:t>
            </w:r>
            <w:r w:rsidR="008C5F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90C61CD" w14:textId="31C306DA" w:rsidR="008B4047" w:rsidRPr="0079693A" w:rsidRDefault="008B4047" w:rsidP="0079693A">
            <w:pPr>
              <w:pStyle w:val="divpk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693A">
              <w:rPr>
                <w:rFonts w:ascii="Times New Roman" w:hAnsi="Times New Roman" w:cs="Times New Roman"/>
                <w:sz w:val="22"/>
                <w:szCs w:val="22"/>
              </w:rPr>
              <w:t xml:space="preserve">pozostałe wyposażenie: </w:t>
            </w:r>
          </w:p>
          <w:p w14:paraId="2B10C101" w14:textId="6F2CFF2B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zestaw przeciwwstrząsowy,</w:t>
            </w:r>
          </w:p>
          <w:p w14:paraId="3CC8FA70" w14:textId="54A50B5D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waga medyczna ze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wzrostomierzem,</w:t>
            </w:r>
          </w:p>
          <w:p w14:paraId="7877F16E" w14:textId="2244093A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aparat do mierzenia ciśnienia tętniczego krwi,</w:t>
            </w:r>
          </w:p>
          <w:p w14:paraId="483EB6F0" w14:textId="7AA670CF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stetoskop,</w:t>
            </w:r>
          </w:p>
          <w:p w14:paraId="28FCE98F" w14:textId="3F1F2EC9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otoskop,</w:t>
            </w:r>
          </w:p>
          <w:p w14:paraId="4809325A" w14:textId="3FBAAEBA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kozetka lekarska,</w:t>
            </w:r>
          </w:p>
          <w:p w14:paraId="23DD7FF0" w14:textId="4197CC43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stolik zabiegowy,</w:t>
            </w:r>
          </w:p>
          <w:p w14:paraId="0381DA7B" w14:textId="74898FD7" w:rsidR="008B4047" w:rsidRPr="00092688" w:rsidRDefault="008B4047" w:rsidP="00092688">
            <w:pPr>
              <w:pStyle w:val="divpkt"/>
              <w:numPr>
                <w:ilvl w:val="0"/>
                <w:numId w:val="19"/>
              </w:numPr>
              <w:spacing w:line="240" w:lineRule="auto"/>
              <w:ind w:left="1066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szafka przeznaczona do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przechowywania leków i</w:t>
            </w:r>
            <w:r w:rsidR="006F34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sz w:val="22"/>
                <w:szCs w:val="22"/>
              </w:rPr>
              <w:t>wyrobów medycznych</w:t>
            </w:r>
            <w:r w:rsidR="002923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7A74E51" w14:textId="291EEA62" w:rsidR="008B4047" w:rsidRPr="00092688" w:rsidRDefault="008B4047" w:rsidP="008B404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047" w:rsidRPr="005A58A5" w14:paraId="004310E2" w14:textId="77777777" w:rsidTr="00BF4A6F">
        <w:tc>
          <w:tcPr>
            <w:tcW w:w="3256" w:type="dxa"/>
            <w:gridSpan w:val="2"/>
          </w:tcPr>
          <w:p w14:paraId="7F7AA297" w14:textId="77777777" w:rsidR="008B4047" w:rsidRPr="00092688" w:rsidRDefault="008B4047" w:rsidP="00D42092">
            <w:p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Etap specjalistyczny</w:t>
            </w:r>
          </w:p>
          <w:p w14:paraId="2489CFE5" w14:textId="0B42F5B2" w:rsidR="00D42092" w:rsidRPr="00092688" w:rsidRDefault="00D42092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line="259" w:lineRule="auto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0809">
              <w:rPr>
                <w:rFonts w:ascii="Times New Roman" w:hAnsi="Times New Roman" w:cs="Times New Roman"/>
                <w:color w:val="000000" w:themeColor="text1"/>
              </w:rPr>
              <w:t xml:space="preserve">zebranie wywiadu dotyczącego używania wyrobów tytoniowych (w tym </w:t>
            </w:r>
            <w:r>
              <w:rPr>
                <w:rFonts w:ascii="Times New Roman" w:hAnsi="Times New Roman" w:cs="Times New Roman"/>
                <w:color w:val="000000" w:themeColor="text1"/>
              </w:rPr>
              <w:t>nowatorskich wyrobów tytoniowych</w:t>
            </w:r>
            <w:r w:rsidRPr="0043080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30809" w:rsidDel="004308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lub papierosów elektronicznych, z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uwzględnieniem: wieku rozpoczęcia, liczby lat używania </w:t>
            </w:r>
            <w:r>
              <w:rPr>
                <w:rFonts w:ascii="Times New Roman" w:hAnsi="Times New Roman" w:cs="Times New Roman"/>
                <w:color w:val="000000" w:themeColor="text1"/>
              </w:rPr>
              <w:t>tych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wyrobów, liczby wypalanych papierosów (ilości </w:t>
            </w:r>
            <w:r>
              <w:rPr>
                <w:rFonts w:ascii="Times New Roman" w:hAnsi="Times New Roman" w:cs="Times New Roman"/>
                <w:color w:val="000000" w:themeColor="text1"/>
              </w:rPr>
              <w:t>zużywanego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tytoniu dziennie </w:t>
            </w:r>
            <w:r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 ilości zużywanego płynu do ponownego napełniania elektronicznych papierosów tygodniowo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, liczby prób zaprzestania używania i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czasu ich trwania, chęci zaprzestania i motywacji do wprowadzenia zmian oraz ocenę poziomu uzależnienia;</w:t>
            </w:r>
          </w:p>
          <w:p w14:paraId="3F6AE48A" w14:textId="73FF6F73" w:rsidR="008B4047" w:rsidRPr="00B92EFF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w przypadku osób skierowanych z etapu podstawowego ocena informacji zebranych o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świadczeniobiorcy w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etapie podstawowym i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ich aktualizacja</w:t>
            </w:r>
            <w:r w:rsidR="002F6B0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2CE5801" w14:textId="7029B210" w:rsidR="008B4047" w:rsidRPr="00B92EFF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 przeprowadzenie testów oceniających poziom uzależnienia od nikotyny, motywacji do zaprzestania używania wyrobów tytoniowych lub elektronicznych papierosów, symptomów depresji oraz wywiadu dotyczącego objawów abstynencji;</w:t>
            </w:r>
          </w:p>
          <w:p w14:paraId="4112D7FC" w14:textId="0AA115F0" w:rsidR="008B4047" w:rsidRPr="00B92EFF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badanie przedmiotowe: pomiar masy ciała, wzrostu oraz ciśnienia 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lastRenderedPageBreak/>
              <w:t>tętniczego krwi;</w:t>
            </w:r>
          </w:p>
          <w:p w14:paraId="0AF4AC2E" w14:textId="60D3510E" w:rsidR="008B4047" w:rsidRPr="00B92EFF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 badanie poziomu tlenku węgla w wydychanym powietrzu;</w:t>
            </w:r>
          </w:p>
          <w:p w14:paraId="677E0BB8" w14:textId="25D9811F" w:rsidR="008B4047" w:rsidRPr="00B92EFF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przeprowadzenie wywiadu dotyczącego chorób współistniejących;</w:t>
            </w:r>
          </w:p>
          <w:p w14:paraId="699475B9" w14:textId="690700A9" w:rsidR="008B4047" w:rsidRPr="00B92EFF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w przypadku osób pomiędzy 40. a 65. rokiem życia (przy określaniu wieku należy wziąć pod uwagę rok urodzenia), które nie miały wykonanych badań spirometrycznych w ramach programu w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okresie ostatnich 36 miesięcy, u których nie zdiagnozowano wcześniej, w sposób potwierdzony badaniem spirometrycznym, </w:t>
            </w:r>
            <w:proofErr w:type="spellStart"/>
            <w:r w:rsidRPr="00B92EFF">
              <w:rPr>
                <w:rFonts w:ascii="Times New Roman" w:hAnsi="Times New Roman" w:cs="Times New Roman"/>
                <w:color w:val="000000" w:themeColor="text1"/>
              </w:rPr>
              <w:t>POChP</w:t>
            </w:r>
            <w:proofErr w:type="spellEnd"/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(lub przewlekłego zapalenia oskrzeli lub rozedmy) - kontynuację badań diagnostycznych w</w:t>
            </w:r>
            <w:r w:rsidR="005F289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>zakresie badania spirometrycznego lub RTG klatki piersiowej przez skierowanie do odpowiedniej poradni specjalistycznej;</w:t>
            </w:r>
          </w:p>
          <w:p w14:paraId="7F7518EA" w14:textId="25FB3995" w:rsidR="008B4047" w:rsidRPr="00092688" w:rsidRDefault="008B4047" w:rsidP="00BF4A6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30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przeprowadzenie edukacji świadczeniobiorców, praktyczne porady dla osób używających wyrob</w:t>
            </w:r>
            <w:r w:rsidR="00573701"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tytoniow</w:t>
            </w:r>
            <w:r w:rsidR="00573701">
              <w:rPr>
                <w:rFonts w:ascii="Times New Roman" w:hAnsi="Times New Roman" w:cs="Times New Roman"/>
                <w:color w:val="000000" w:themeColor="text1"/>
              </w:rPr>
              <w:t>ych</w:t>
            </w:r>
            <w:r w:rsidR="00DF7D45">
              <w:rPr>
                <w:rFonts w:ascii="Times New Roman" w:hAnsi="Times New Roman" w:cs="Times New Roman"/>
                <w:color w:val="000000" w:themeColor="text1"/>
              </w:rPr>
              <w:t xml:space="preserve"> (w tym </w:t>
            </w:r>
            <w:r w:rsidR="00D42092">
              <w:rPr>
                <w:rFonts w:ascii="Times New Roman" w:hAnsi="Times New Roman" w:cs="Times New Roman"/>
                <w:color w:val="000000" w:themeColor="text1"/>
              </w:rPr>
              <w:t>nowatorskich wyrobów tytoniowych</w:t>
            </w:r>
            <w:r w:rsidR="00DF7D4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lub elektroniczn</w:t>
            </w:r>
            <w:r w:rsidR="00573701">
              <w:rPr>
                <w:rFonts w:ascii="Times New Roman" w:hAnsi="Times New Roman" w:cs="Times New Roman"/>
                <w:color w:val="000000" w:themeColor="text1"/>
              </w:rPr>
              <w:t>ych</w:t>
            </w:r>
            <w:r w:rsidRPr="00B92EFF">
              <w:rPr>
                <w:rFonts w:ascii="Times New Roman" w:hAnsi="Times New Roman" w:cs="Times New Roman"/>
                <w:color w:val="000000" w:themeColor="text1"/>
              </w:rPr>
              <w:t xml:space="preserve"> papieros</w:t>
            </w:r>
            <w:r w:rsidR="00573701"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A49B9A0" w14:textId="1A8979C0" w:rsidR="008B4047" w:rsidRPr="00320D22" w:rsidRDefault="008B4047" w:rsidP="00320D22">
            <w:pPr>
              <w:pStyle w:val="divpkt"/>
              <w:numPr>
                <w:ilvl w:val="0"/>
                <w:numId w:val="24"/>
              </w:numPr>
              <w:tabs>
                <w:tab w:val="left" w:pos="16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90539951"/>
            <w:r w:rsidRPr="0032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poinformowanie, że palenie tytoniu jest głównym czynnikiem ryzyka zachorowania na </w:t>
            </w:r>
            <w:proofErr w:type="spellStart"/>
            <w:r w:rsidRPr="0032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POChP</w:t>
            </w:r>
            <w:proofErr w:type="spellEnd"/>
            <w:r w:rsidRPr="0032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raka płuca, krtani i pęcherza moczowego i innych chorób nowotworowych oraz chorób układu krążenia, </w:t>
            </w:r>
            <w:bookmarkStart w:id="1" w:name="_Hlk90539916"/>
            <w:r w:rsidR="005F289D" w:rsidRPr="0032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tym udzielenie informacji na temat profilaktyki </w:t>
            </w:r>
            <w:r w:rsidRPr="0032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chorób układu krążenia</w:t>
            </w:r>
            <w:r w:rsidR="0014357A" w:rsidRPr="0032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bookmarkEnd w:id="0"/>
          <w:bookmarkEnd w:id="1"/>
          <w:p w14:paraId="49537F93" w14:textId="547EBFB6" w:rsidR="00A325F6" w:rsidRDefault="008B4047" w:rsidP="00320D22">
            <w:pPr>
              <w:pStyle w:val="divpkt"/>
              <w:numPr>
                <w:ilvl w:val="0"/>
                <w:numId w:val="24"/>
              </w:numPr>
              <w:tabs>
                <w:tab w:val="left" w:pos="44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zwrócenie uwagi, że narażenie na bierną inhalację substancji wytwarzanych przez wyroby tytoniowe i elektroniczne papierosy jest szkodliwe dla zdrowia, w tym dzieci</w:t>
            </w:r>
            <w:r w:rsidR="00143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09630944" w14:textId="1D8D79AB" w:rsidR="008B4047" w:rsidRPr="00EF60C0" w:rsidRDefault="00A325F6" w:rsidP="00320D22">
            <w:pPr>
              <w:pStyle w:val="divpkt"/>
              <w:numPr>
                <w:ilvl w:val="0"/>
                <w:numId w:val="24"/>
              </w:numPr>
              <w:tabs>
                <w:tab w:val="left" w:pos="44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</w:t>
            </w:r>
            <w:r w:rsidR="008B4047"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przypadku kobiet - poinformowanie, że palenie tytoniu jest czynnikiem ryzyka zachorowania na raka szyjki macicy i udzielenie informacji o Programie profilaktyki raka szyjki macicy</w:t>
            </w:r>
            <w:r w:rsidR="00143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0FBC21F6" w14:textId="578152B6" w:rsidR="00DF7D45" w:rsidRPr="00EF60C0" w:rsidRDefault="00DF7D45" w:rsidP="00320D22">
            <w:pPr>
              <w:pStyle w:val="divpkt"/>
              <w:numPr>
                <w:ilvl w:val="0"/>
                <w:numId w:val="24"/>
              </w:numPr>
              <w:tabs>
                <w:tab w:val="left" w:pos="44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zwrócenie uwagi, że jedynym skutecznym sposobem rzucenia palenia jest całkowita rezygnacja z używania wyrobów nikotynowych</w:t>
            </w:r>
            <w:r w:rsidR="00F13F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37673CE3" w14:textId="333F2108" w:rsidR="008B4047" w:rsidRPr="00EF60C0" w:rsidRDefault="008B4047" w:rsidP="0014357A">
            <w:pPr>
              <w:pStyle w:val="divpkt"/>
              <w:numPr>
                <w:ilvl w:val="0"/>
                <w:numId w:val="6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ustalenie wskazań i</w:t>
            </w:r>
            <w:r w:rsidR="005F28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przeciwwskazań do farmakoterapii i terapii psychologicznej (lekarz specjalista);</w:t>
            </w:r>
          </w:p>
          <w:p w14:paraId="0E979960" w14:textId="17E2FF55" w:rsidR="008B4047" w:rsidRPr="00EF60C0" w:rsidRDefault="008B4047" w:rsidP="0014357A">
            <w:pPr>
              <w:pStyle w:val="divpkt"/>
              <w:numPr>
                <w:ilvl w:val="0"/>
                <w:numId w:val="6"/>
              </w:numPr>
              <w:tabs>
                <w:tab w:val="left" w:pos="164"/>
                <w:tab w:val="left" w:pos="447"/>
              </w:tabs>
              <w:spacing w:line="240" w:lineRule="auto"/>
              <w:ind w:left="306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ustalenie wskazań i</w:t>
            </w:r>
            <w:r w:rsidR="005F28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przeciwwskazań do terapii psychologicznej indywidualnej lub grupowej (osoba, o której mowa w</w:t>
            </w:r>
            <w:r w:rsidR="00573701"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kolumnie 3 pkt 2 </w:t>
            </w:r>
            <w:proofErr w:type="spellStart"/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ppkt</w:t>
            </w:r>
            <w:proofErr w:type="spellEnd"/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lit.</w:t>
            </w:r>
            <w:r w:rsidR="00573701"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b);</w:t>
            </w:r>
          </w:p>
          <w:p w14:paraId="68E3A13C" w14:textId="558EB809" w:rsidR="008B4047" w:rsidRPr="00EF60C0" w:rsidRDefault="008B4047" w:rsidP="0014357A">
            <w:pPr>
              <w:pStyle w:val="divpkt"/>
              <w:numPr>
                <w:ilvl w:val="0"/>
                <w:numId w:val="6"/>
              </w:numPr>
              <w:tabs>
                <w:tab w:val="left" w:pos="164"/>
                <w:tab w:val="left" w:pos="447"/>
              </w:tabs>
              <w:spacing w:line="240" w:lineRule="auto"/>
              <w:ind w:left="306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zaplanowanie schematu leczenia uzależnienia (w</w:t>
            </w:r>
            <w:r w:rsidR="00DD52B7"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tym farmakoterapia i</w:t>
            </w:r>
            <w:r w:rsidR="005F28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terapia psychologiczna indywidualna </w:t>
            </w:r>
            <w:r w:rsidR="00194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albo</w:t>
            </w:r>
            <w:r w:rsidR="00194E5D"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F4A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grupowa i jej realizacja).</w:t>
            </w:r>
          </w:p>
        </w:tc>
        <w:tc>
          <w:tcPr>
            <w:tcW w:w="2833" w:type="dxa"/>
          </w:tcPr>
          <w:p w14:paraId="7FAD5ED3" w14:textId="717077B4" w:rsidR="008B4047" w:rsidRPr="00B92EFF" w:rsidRDefault="008B4047" w:rsidP="008B40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Kryteria kwalifikacji do etapu specjalistycznego </w:t>
            </w:r>
          </w:p>
          <w:p w14:paraId="391BB14D" w14:textId="6BE151EB" w:rsidR="008B4047" w:rsidRPr="00B92EFF" w:rsidRDefault="005E5232" w:rsidP="008B40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>soby powyżej 18. roku życia uzależnione od tytoniu</w:t>
            </w:r>
            <w:r w:rsidR="00DB07AE" w:rsidRPr="00B92EFF">
              <w:rPr>
                <w:rFonts w:ascii="Times New Roman" w:hAnsi="Times New Roman" w:cs="Times New Roman"/>
                <w:color w:val="000000" w:themeColor="text1"/>
              </w:rPr>
              <w:t>, w tym nowatorskich wyrobów tytoniowych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 xml:space="preserve"> (ICD-10: F17)</w:t>
            </w:r>
            <w:r w:rsidR="008C5F1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="00DB07AE" w:rsidRPr="00B92EFF">
              <w:rPr>
                <w:rFonts w:ascii="Times New Roman" w:hAnsi="Times New Roman" w:cs="Times New Roman"/>
                <w:color w:val="000000" w:themeColor="text1"/>
              </w:rPr>
              <w:t>uzależnione od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07AE" w:rsidRPr="00B92EFF">
              <w:rPr>
                <w:rFonts w:ascii="Times New Roman" w:hAnsi="Times New Roman" w:cs="Times New Roman"/>
                <w:color w:val="000000" w:themeColor="text1"/>
              </w:rPr>
              <w:t xml:space="preserve">używania 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>elektroniczn</w:t>
            </w:r>
            <w:r w:rsidR="00DB07AE" w:rsidRPr="00B92EFF">
              <w:rPr>
                <w:rFonts w:ascii="Times New Roman" w:hAnsi="Times New Roman" w:cs="Times New Roman"/>
                <w:color w:val="000000" w:themeColor="text1"/>
              </w:rPr>
              <w:t>ych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 xml:space="preserve"> papieros</w:t>
            </w:r>
            <w:r w:rsidR="00DB07AE" w:rsidRPr="00B92EFF"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>, skierowane z</w:t>
            </w:r>
            <w:r w:rsidR="00F742A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B4047" w:rsidRPr="00B92EFF">
              <w:rPr>
                <w:rFonts w:ascii="Times New Roman" w:hAnsi="Times New Roman" w:cs="Times New Roman"/>
                <w:color w:val="000000" w:themeColor="text1"/>
              </w:rPr>
              <w:t xml:space="preserve">etapu podstawowego lub z oddziału szpitalnego oraz zgłaszające się bez skierowania. </w:t>
            </w:r>
          </w:p>
          <w:p w14:paraId="766D9922" w14:textId="648889A0" w:rsidR="008B4047" w:rsidRPr="00B92EFF" w:rsidRDefault="008B4047" w:rsidP="005E523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3" w:type="dxa"/>
          </w:tcPr>
          <w:p w14:paraId="65989619" w14:textId="5E583695" w:rsidR="008B4047" w:rsidRPr="00B92EFF" w:rsidRDefault="00F072AC" w:rsidP="008B40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="008B4047"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Tryb realizacji świadczenia w</w:t>
            </w:r>
            <w:r w:rsidR="002F6B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8B4047"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etapie specjalistycznym</w:t>
            </w:r>
          </w:p>
          <w:p w14:paraId="29C33AE3" w14:textId="77777777" w:rsidR="008B4047" w:rsidRPr="00B92EFF" w:rsidRDefault="008B4047" w:rsidP="008B40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- ambulatoryjny.</w:t>
            </w:r>
          </w:p>
          <w:p w14:paraId="41B6EF54" w14:textId="3C68710F" w:rsidR="008B4047" w:rsidRPr="00B92EFF" w:rsidRDefault="00F072AC" w:rsidP="008B404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8B4047" w:rsidRPr="00B92E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wymagane od świadczeniodawców:</w:t>
            </w:r>
          </w:p>
          <w:p w14:paraId="220853B1" w14:textId="51CC1860" w:rsidR="008B4047" w:rsidRPr="00E061E3" w:rsidRDefault="008B4047" w:rsidP="0009268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61E3">
              <w:rPr>
                <w:rFonts w:ascii="Times New Roman" w:hAnsi="Times New Roman" w:cs="Times New Roman"/>
                <w:color w:val="000000" w:themeColor="text1"/>
              </w:rPr>
              <w:t xml:space="preserve">personel: </w:t>
            </w:r>
          </w:p>
          <w:p w14:paraId="347F6F8A" w14:textId="5017885C" w:rsidR="008B4047" w:rsidRPr="00B6224A" w:rsidRDefault="008B4047" w:rsidP="00092688">
            <w:pPr>
              <w:pStyle w:val="divpk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61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lekarz</w:t>
            </w:r>
            <w:r w:rsidR="00D42092" w:rsidRPr="00B622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z co najmniej rocznym stażem pracy w zawodzie,</w:t>
            </w:r>
            <w:r w:rsidRPr="00B622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posiadający udokumentowane umiejętności w leczeniu zespołu uzależnienia od tytoniu,</w:t>
            </w:r>
          </w:p>
          <w:p w14:paraId="17E6CA7E" w14:textId="1E386C7D" w:rsidR="008B4047" w:rsidRPr="00B92EFF" w:rsidRDefault="008B4047" w:rsidP="00092688">
            <w:pPr>
              <w:pStyle w:val="divpk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22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psycholog 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(osoba posiadająca prawo wykonywania zawodu psychologa</w:t>
            </w:r>
            <w:r w:rsidR="005E5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 której mowa w</w:t>
            </w:r>
            <w:r w:rsidR="00606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ustawie z dnia 8 czerwca 2001</w:t>
            </w:r>
            <w:r w:rsidR="00606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r. o zawodzie psychologa i</w:t>
            </w:r>
            <w:r w:rsidR="00606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samorządzie zawodowym psychologów (Dz. U. z 20</w:t>
            </w:r>
            <w:r w:rsidR="005E5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</w:t>
            </w:r>
            <w:r w:rsidR="002F6B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poz. </w:t>
            </w:r>
            <w:r w:rsidR="005E5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lub specjalista </w:t>
            </w:r>
            <w:r w:rsidR="00EE5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psycho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terapii uzależnień (osoba, która posiada kwalifikacje specjalisty </w:t>
            </w:r>
            <w:r w:rsidR="00EE53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psycho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terapii uzależnień, o którym mowa w</w:t>
            </w:r>
            <w:r w:rsidR="00606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ustawie z dnia 29 lipca 2005 r. o przeciwdziałaniu narkomanii (Dz.</w:t>
            </w:r>
            <w:r w:rsidR="002F6B0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926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U. z 20</w:t>
            </w:r>
            <w:r w:rsidR="005E5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r. poz. </w:t>
            </w:r>
            <w:r w:rsidR="005E5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2050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8C5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B92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lub osoba prowadząca psychoterapię (osoba, która ukończyła studia wyższe i szkolenie w zakresie psychoterapii),</w:t>
            </w:r>
          </w:p>
          <w:p w14:paraId="0BF2F096" w14:textId="42722494" w:rsidR="008B4047" w:rsidRPr="00B92EFF" w:rsidRDefault="008B4047" w:rsidP="0009268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pielęgniarka lub położna przeszkolona w zakresie leczenia zespołu uzależnienia od tytoniu;</w:t>
            </w:r>
          </w:p>
          <w:p w14:paraId="02044F70" w14:textId="2FF220A0" w:rsidR="008B4047" w:rsidRPr="00B92EFF" w:rsidRDefault="008B4047" w:rsidP="0009268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EFF">
              <w:rPr>
                <w:rFonts w:ascii="Times New Roman" w:hAnsi="Times New Roman" w:cs="Times New Roman"/>
                <w:color w:val="000000" w:themeColor="text1"/>
              </w:rPr>
              <w:t>wyposażenie w sprzęt i aparaturę medyczną:</w:t>
            </w:r>
          </w:p>
          <w:p w14:paraId="7A681DDA" w14:textId="76DA7250" w:rsidR="008B4047" w:rsidRPr="00092688" w:rsidRDefault="008B4047" w:rsidP="0009268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>aparat do pomiaru ciśnienia krwi,</w:t>
            </w:r>
          </w:p>
          <w:p w14:paraId="074E2DCF" w14:textId="35605F40" w:rsidR="008B4047" w:rsidRPr="00092688" w:rsidRDefault="008B4047" w:rsidP="0009268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>aparat do pomiaru stężenia tlenku węgla w wydychanym powietrzu</w:t>
            </w:r>
            <w:r w:rsidR="002F6B0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D40211C" w14:textId="3E7F1B2F" w:rsidR="008B4047" w:rsidRPr="00092688" w:rsidRDefault="008B4047" w:rsidP="0009268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688">
              <w:rPr>
                <w:rFonts w:ascii="Times New Roman" w:hAnsi="Times New Roman" w:cs="Times New Roman"/>
                <w:color w:val="000000" w:themeColor="text1"/>
              </w:rPr>
              <w:t>waga medyczna</w:t>
            </w:r>
            <w:r w:rsidR="00DF7D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7D45" w:rsidRPr="00092688">
              <w:rPr>
                <w:rFonts w:ascii="Times New Roman" w:hAnsi="Times New Roman" w:cs="Times New Roman"/>
              </w:rPr>
              <w:t>ze</w:t>
            </w:r>
            <w:r w:rsidR="00606F94">
              <w:rPr>
                <w:rFonts w:ascii="Times New Roman" w:hAnsi="Times New Roman" w:cs="Times New Roman"/>
              </w:rPr>
              <w:t> </w:t>
            </w:r>
            <w:r w:rsidR="00DF7D45" w:rsidRPr="00092688">
              <w:rPr>
                <w:rFonts w:ascii="Times New Roman" w:hAnsi="Times New Roman" w:cs="Times New Roman"/>
              </w:rPr>
              <w:t>wzrostomierzem</w:t>
            </w:r>
            <w:r w:rsidRPr="000926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2FF9EE87" w14:textId="77777777" w:rsidR="008B4047" w:rsidRPr="008B4047" w:rsidRDefault="008B4047" w:rsidP="008B4047">
      <w:pPr>
        <w:spacing w:before="120" w:after="120" w:line="240" w:lineRule="auto"/>
        <w:jc w:val="both"/>
        <w:rPr>
          <w:rFonts w:cs="Arial"/>
        </w:rPr>
      </w:pPr>
    </w:p>
    <w:sectPr w:rsidR="008B4047" w:rsidRPr="008B4047" w:rsidSect="00830D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E51B" w14:textId="77777777" w:rsidR="005C51D3" w:rsidRDefault="005C51D3" w:rsidP="001A3893">
      <w:pPr>
        <w:spacing w:after="0" w:line="240" w:lineRule="auto"/>
      </w:pPr>
      <w:r>
        <w:separator/>
      </w:r>
    </w:p>
  </w:endnote>
  <w:endnote w:type="continuationSeparator" w:id="0">
    <w:p w14:paraId="51821040" w14:textId="77777777" w:rsidR="005C51D3" w:rsidRDefault="005C51D3" w:rsidP="001A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AC6E" w14:textId="77777777" w:rsidR="005C51D3" w:rsidRDefault="005C51D3" w:rsidP="001A3893">
      <w:pPr>
        <w:spacing w:after="0" w:line="240" w:lineRule="auto"/>
      </w:pPr>
      <w:r>
        <w:separator/>
      </w:r>
    </w:p>
  </w:footnote>
  <w:footnote w:type="continuationSeparator" w:id="0">
    <w:p w14:paraId="6B661BED" w14:textId="77777777" w:rsidR="005C51D3" w:rsidRDefault="005C51D3" w:rsidP="001A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F5F"/>
    <w:multiLevelType w:val="hybridMultilevel"/>
    <w:tmpl w:val="D71271BC"/>
    <w:lvl w:ilvl="0" w:tplc="04150011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36F5600"/>
    <w:multiLevelType w:val="hybridMultilevel"/>
    <w:tmpl w:val="1BBC4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131"/>
    <w:multiLevelType w:val="hybridMultilevel"/>
    <w:tmpl w:val="150A9640"/>
    <w:lvl w:ilvl="0" w:tplc="FDBA5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70BC9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908"/>
    <w:multiLevelType w:val="hybridMultilevel"/>
    <w:tmpl w:val="5948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E954DE"/>
    <w:multiLevelType w:val="hybridMultilevel"/>
    <w:tmpl w:val="46A48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23BCF"/>
    <w:multiLevelType w:val="hybridMultilevel"/>
    <w:tmpl w:val="A364BFB0"/>
    <w:lvl w:ilvl="0" w:tplc="8FC274F6">
      <w:start w:val="1"/>
      <w:numFmt w:val="decimal"/>
      <w:lvlText w:val="%1)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AB80587"/>
    <w:multiLevelType w:val="hybridMultilevel"/>
    <w:tmpl w:val="A54497BC"/>
    <w:lvl w:ilvl="0" w:tplc="D62E3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44D"/>
    <w:multiLevelType w:val="hybridMultilevel"/>
    <w:tmpl w:val="FE56C9AA"/>
    <w:lvl w:ilvl="0" w:tplc="04150011">
      <w:start w:val="1"/>
      <w:numFmt w:val="decimal"/>
      <w:lvlText w:val="%1)"/>
      <w:lvlJc w:val="left"/>
      <w:pPr>
        <w:ind w:left="38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639EFA7E">
      <w:start w:val="1"/>
      <w:numFmt w:val="lowerLetter"/>
      <w:lvlText w:val="%3)"/>
      <w:lvlJc w:val="left"/>
      <w:pPr>
        <w:ind w:left="20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A227BB2"/>
    <w:multiLevelType w:val="hybridMultilevel"/>
    <w:tmpl w:val="77240882"/>
    <w:lvl w:ilvl="0" w:tplc="D62E36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957242"/>
    <w:multiLevelType w:val="hybridMultilevel"/>
    <w:tmpl w:val="77E2AD14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3DED7716"/>
    <w:multiLevelType w:val="hybridMultilevel"/>
    <w:tmpl w:val="9DC40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C0D14"/>
    <w:multiLevelType w:val="hybridMultilevel"/>
    <w:tmpl w:val="500430D2"/>
    <w:lvl w:ilvl="0" w:tplc="37726C8E">
      <w:start w:val="1"/>
      <w:numFmt w:val="lowerLetter"/>
      <w:lvlText w:val="%1)"/>
      <w:lvlJc w:val="left"/>
      <w:pPr>
        <w:ind w:left="66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532161EE"/>
    <w:multiLevelType w:val="hybridMultilevel"/>
    <w:tmpl w:val="7C36B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3B310F"/>
    <w:multiLevelType w:val="hybridMultilevel"/>
    <w:tmpl w:val="A4305BDC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39649E9"/>
    <w:multiLevelType w:val="hybridMultilevel"/>
    <w:tmpl w:val="6C6869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76837"/>
    <w:multiLevelType w:val="hybridMultilevel"/>
    <w:tmpl w:val="E578B1FC"/>
    <w:lvl w:ilvl="0" w:tplc="A4D05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90A93"/>
    <w:multiLevelType w:val="hybridMultilevel"/>
    <w:tmpl w:val="CF186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511A5"/>
    <w:multiLevelType w:val="hybridMultilevel"/>
    <w:tmpl w:val="C24C6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3637"/>
    <w:multiLevelType w:val="hybridMultilevel"/>
    <w:tmpl w:val="D9CE5FEC"/>
    <w:lvl w:ilvl="0" w:tplc="5E2E85FA">
      <w:start w:val="1"/>
      <w:numFmt w:val="decimal"/>
      <w:lvlText w:val="%1)"/>
      <w:lvlJc w:val="left"/>
      <w:pPr>
        <w:ind w:left="38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765854FA"/>
    <w:multiLevelType w:val="hybridMultilevel"/>
    <w:tmpl w:val="6BE6F25C"/>
    <w:lvl w:ilvl="0" w:tplc="577463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sz w:val="22"/>
        <w:szCs w:val="22"/>
      </w:rPr>
    </w:lvl>
    <w:lvl w:ilvl="1" w:tplc="3E745E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4BA3"/>
    <w:multiLevelType w:val="hybridMultilevel"/>
    <w:tmpl w:val="066E0AB6"/>
    <w:lvl w:ilvl="0" w:tplc="04150011">
      <w:start w:val="1"/>
      <w:numFmt w:val="decimal"/>
      <w:lvlText w:val="%1)"/>
      <w:lvlJc w:val="left"/>
      <w:pPr>
        <w:ind w:left="38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639EFA7E">
      <w:start w:val="1"/>
      <w:numFmt w:val="lowerLetter"/>
      <w:lvlText w:val="%3)"/>
      <w:lvlJc w:val="left"/>
      <w:pPr>
        <w:ind w:left="20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79E17BD9"/>
    <w:multiLevelType w:val="hybridMultilevel"/>
    <w:tmpl w:val="C24C6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3690"/>
    <w:multiLevelType w:val="hybridMultilevel"/>
    <w:tmpl w:val="1BBC4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46B"/>
    <w:multiLevelType w:val="hybridMultilevel"/>
    <w:tmpl w:val="9E940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"/>
  </w:num>
  <w:num w:numId="5">
    <w:abstractNumId w:val="3"/>
  </w:num>
  <w:num w:numId="6">
    <w:abstractNumId w:val="19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23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4"/>
  </w:num>
  <w:num w:numId="21">
    <w:abstractNumId w:val="1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93"/>
    <w:rsid w:val="00004F4E"/>
    <w:rsid w:val="00092688"/>
    <w:rsid w:val="000C1923"/>
    <w:rsid w:val="000E061B"/>
    <w:rsid w:val="000E621C"/>
    <w:rsid w:val="0014357A"/>
    <w:rsid w:val="00194E5D"/>
    <w:rsid w:val="001A3893"/>
    <w:rsid w:val="001D67AC"/>
    <w:rsid w:val="0020683D"/>
    <w:rsid w:val="002168AA"/>
    <w:rsid w:val="00223D0C"/>
    <w:rsid w:val="0023702F"/>
    <w:rsid w:val="00242849"/>
    <w:rsid w:val="0029234C"/>
    <w:rsid w:val="002B0178"/>
    <w:rsid w:val="002B3263"/>
    <w:rsid w:val="002D738B"/>
    <w:rsid w:val="002F6B0F"/>
    <w:rsid w:val="00320D22"/>
    <w:rsid w:val="003434C4"/>
    <w:rsid w:val="00344B18"/>
    <w:rsid w:val="003842B4"/>
    <w:rsid w:val="00393E68"/>
    <w:rsid w:val="003B4F69"/>
    <w:rsid w:val="003D1455"/>
    <w:rsid w:val="00402D17"/>
    <w:rsid w:val="00407E4E"/>
    <w:rsid w:val="00413292"/>
    <w:rsid w:val="00430809"/>
    <w:rsid w:val="00455A0A"/>
    <w:rsid w:val="004B1641"/>
    <w:rsid w:val="005058D2"/>
    <w:rsid w:val="00524B44"/>
    <w:rsid w:val="00553249"/>
    <w:rsid w:val="0055682C"/>
    <w:rsid w:val="00573701"/>
    <w:rsid w:val="005A58A5"/>
    <w:rsid w:val="005C51D3"/>
    <w:rsid w:val="005E4BC1"/>
    <w:rsid w:val="005E5232"/>
    <w:rsid w:val="005E7BB2"/>
    <w:rsid w:val="005F07C0"/>
    <w:rsid w:val="005F289D"/>
    <w:rsid w:val="00606F94"/>
    <w:rsid w:val="006208D4"/>
    <w:rsid w:val="0063051D"/>
    <w:rsid w:val="00643035"/>
    <w:rsid w:val="0068281D"/>
    <w:rsid w:val="006F34DC"/>
    <w:rsid w:val="00716405"/>
    <w:rsid w:val="0079693A"/>
    <w:rsid w:val="007A2DFB"/>
    <w:rsid w:val="007A3346"/>
    <w:rsid w:val="00830D06"/>
    <w:rsid w:val="008362CF"/>
    <w:rsid w:val="0087474E"/>
    <w:rsid w:val="008B4047"/>
    <w:rsid w:val="008C29C1"/>
    <w:rsid w:val="008C5F12"/>
    <w:rsid w:val="008D52F5"/>
    <w:rsid w:val="008F375B"/>
    <w:rsid w:val="00964495"/>
    <w:rsid w:val="009E25D0"/>
    <w:rsid w:val="00A325F6"/>
    <w:rsid w:val="00A4041A"/>
    <w:rsid w:val="00AE46F8"/>
    <w:rsid w:val="00B11A4D"/>
    <w:rsid w:val="00B313E4"/>
    <w:rsid w:val="00B607C7"/>
    <w:rsid w:val="00B6224A"/>
    <w:rsid w:val="00B84845"/>
    <w:rsid w:val="00B90477"/>
    <w:rsid w:val="00B92EFF"/>
    <w:rsid w:val="00BC49CA"/>
    <w:rsid w:val="00BC4D43"/>
    <w:rsid w:val="00BF4A6F"/>
    <w:rsid w:val="00CC4990"/>
    <w:rsid w:val="00CF650C"/>
    <w:rsid w:val="00D03B06"/>
    <w:rsid w:val="00D42092"/>
    <w:rsid w:val="00D84DC7"/>
    <w:rsid w:val="00D84E08"/>
    <w:rsid w:val="00DB07AE"/>
    <w:rsid w:val="00DD52B7"/>
    <w:rsid w:val="00DE443C"/>
    <w:rsid w:val="00DF7D45"/>
    <w:rsid w:val="00E013F2"/>
    <w:rsid w:val="00E061E3"/>
    <w:rsid w:val="00E217BE"/>
    <w:rsid w:val="00E3181C"/>
    <w:rsid w:val="00E329ED"/>
    <w:rsid w:val="00E53ECA"/>
    <w:rsid w:val="00EB2F6C"/>
    <w:rsid w:val="00EE5333"/>
    <w:rsid w:val="00EF31A7"/>
    <w:rsid w:val="00EF3F08"/>
    <w:rsid w:val="00EF60C0"/>
    <w:rsid w:val="00F072AC"/>
    <w:rsid w:val="00F13F9D"/>
    <w:rsid w:val="00F30799"/>
    <w:rsid w:val="00F742A8"/>
    <w:rsid w:val="00FA5AA6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A074"/>
  <w15:docId w15:val="{578A0442-37F6-46B9-BC58-59E783B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8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8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8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4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A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C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kt">
    <w:name w:val="div.pkt"/>
    <w:uiPriority w:val="99"/>
    <w:rsid w:val="00EB2F6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404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04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7A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217B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A5"/>
    <w:pPr>
      <w:widowControl/>
      <w:autoSpaceDE/>
      <w:autoSpaceDN/>
      <w:adjustRightInd/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A5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15F4-EB34-4C8F-9C66-4D656FB7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 Jakub</dc:creator>
  <cp:lastModifiedBy>Szymański Jakub</cp:lastModifiedBy>
  <cp:revision>2</cp:revision>
  <dcterms:created xsi:type="dcterms:W3CDTF">2022-01-17T11:09:00Z</dcterms:created>
  <dcterms:modified xsi:type="dcterms:W3CDTF">2022-01-17T11:09:00Z</dcterms:modified>
</cp:coreProperties>
</file>